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95AE9">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outlineLvl w:val="0"/>
        <w:rPr>
          <w:rFonts w:hint="eastAsia" w:ascii="黑体" w:hAnsi="黑体" w:eastAsia="黑体" w:cs="Times New Roman"/>
          <w:color w:val="000000"/>
          <w:kern w:val="36"/>
          <w:sz w:val="36"/>
          <w:szCs w:val="36"/>
          <w14:ligatures w14:val="none"/>
        </w:rPr>
      </w:pPr>
      <w:r>
        <w:rPr>
          <w:rFonts w:hint="eastAsia" w:ascii="黑体" w:hAnsi="黑体" w:eastAsia="黑体" w:cs="Times New Roman"/>
          <w:color w:val="000000"/>
          <w:kern w:val="36"/>
          <w:sz w:val="36"/>
          <w:szCs w:val="36"/>
          <w14:ligatures w14:val="none"/>
        </w:rPr>
        <w:t>中国教育发展战略学会教育大数据专业委员会</w:t>
      </w:r>
    </w:p>
    <w:p w14:paraId="1CC6D3DF">
      <w:pPr>
        <w:keepNext w:val="0"/>
        <w:keepLines w:val="0"/>
        <w:pageBreakBefore w:val="0"/>
        <w:widowControl/>
        <w:kinsoku/>
        <w:wordWrap/>
        <w:overflowPunct/>
        <w:topLinePunct w:val="0"/>
        <w:autoSpaceDE/>
        <w:autoSpaceDN/>
        <w:bidi w:val="0"/>
        <w:adjustRightInd/>
        <w:snapToGrid/>
        <w:spacing w:after="313" w:afterLines="100" w:line="580" w:lineRule="exact"/>
        <w:ind w:left="0"/>
        <w:jc w:val="center"/>
        <w:textAlignment w:val="auto"/>
        <w:outlineLvl w:val="0"/>
        <w:rPr>
          <w:rFonts w:hint="eastAsia" w:ascii="黑体" w:hAnsi="黑体" w:eastAsia="黑体" w:cs="Times New Roman"/>
          <w:color w:val="000000"/>
          <w:kern w:val="36"/>
          <w:sz w:val="36"/>
          <w:szCs w:val="36"/>
          <w14:ligatures w14:val="none"/>
        </w:rPr>
      </w:pPr>
      <w:r>
        <w:rPr>
          <w:rFonts w:hint="default" w:ascii="Times New Roman" w:hAnsi="Times New Roman" w:eastAsia="黑体" w:cs="Times New Roman"/>
          <w:color w:val="000000"/>
          <w:kern w:val="36"/>
          <w:sz w:val="36"/>
          <w:szCs w:val="36"/>
          <w14:ligatures w14:val="none"/>
        </w:rPr>
        <w:t>2026-2027</w:t>
      </w:r>
      <w:r>
        <w:rPr>
          <w:rFonts w:hint="eastAsia" w:ascii="黑体" w:hAnsi="黑体" w:eastAsia="黑体" w:cs="Times New Roman"/>
          <w:color w:val="000000"/>
          <w:kern w:val="36"/>
          <w:sz w:val="36"/>
          <w:szCs w:val="36"/>
          <w14:ligatures w14:val="none"/>
        </w:rPr>
        <w:t>年研究课题指南</w:t>
      </w:r>
    </w:p>
    <w:p w14:paraId="71F5E759">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2026年是</w:t>
      </w:r>
      <w:r>
        <w:rPr>
          <w:rFonts w:hint="eastAsia" w:ascii="仿宋" w:hAnsi="仿宋" w:eastAsia="仿宋" w:cs="仿宋"/>
          <w:color w:val="000000"/>
          <w:kern w:val="0"/>
          <w:sz w:val="32"/>
          <w:szCs w:val="32"/>
          <w14:ligatures w14:val="none"/>
        </w:rPr>
        <w:t>“十五五”开</w:t>
      </w:r>
      <w:r>
        <w:rPr>
          <w:rFonts w:ascii="Times New Roman" w:hAnsi="Times New Roman" w:eastAsia="仿宋" w:cs="Times New Roman"/>
          <w:color w:val="000000"/>
          <w:kern w:val="0"/>
          <w:sz w:val="32"/>
          <w:szCs w:val="32"/>
          <w14:ligatures w14:val="none"/>
        </w:rPr>
        <w:t>局之年，也是教育强国建设从全面布局向纵深推进的关键之年。当前，全球科技革命和产业变革加速演进，人工智能、大数据、量子科技等前沿技术深刻重塑教育形态，新质生产力的培育发展对教育人才培养和体系变革提出全新要求。为深入贯彻落实党的二十大及二十届历次全会精神、全国教育大会精神及习近平总书记关于教育的重要论述，紧扣《教育强国建设规划纲要（2024—2035年）》推进要求和</w:t>
      </w:r>
      <w:r>
        <w:rPr>
          <w:rFonts w:hint="eastAsia" w:ascii="仿宋" w:hAnsi="仿宋" w:eastAsia="仿宋" w:cs="仿宋"/>
          <w:color w:val="000000"/>
          <w:kern w:val="0"/>
          <w:sz w:val="32"/>
          <w:szCs w:val="32"/>
          <w14:ligatures w14:val="none"/>
        </w:rPr>
        <w:t>“十五五”教</w:t>
      </w:r>
      <w:r>
        <w:rPr>
          <w:rFonts w:ascii="Times New Roman" w:hAnsi="Times New Roman" w:eastAsia="仿宋" w:cs="Times New Roman"/>
          <w:color w:val="000000"/>
          <w:kern w:val="0"/>
          <w:sz w:val="32"/>
          <w:szCs w:val="32"/>
          <w14:ligatures w14:val="none"/>
        </w:rPr>
        <w:t>育事业规划核心部署，中国教育发展战略学会教育大数据专业委员会聚焦数智化环境下大中小衔接与拔尖创新人才培养的关键议题，坚持问题导向、需求导向和创新导向相统一，梳理教育领域新重点、新难点，综合专家意见和实践需求，制定本课题指南，旨在为数智时代教育高质量发展提供坚实的学术支撑和实践范例。</w:t>
      </w:r>
    </w:p>
    <w:p w14:paraId="66D5F139">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 数智赋能大中小衔接的课程一体化设计与实施研究</w:t>
      </w:r>
    </w:p>
    <w:p w14:paraId="22773A7F">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立足“十五五”时期基础教育、高等教育贯通培养的战略需求，研究数智技术支撑下的大中小衔接课程一体化设计框架与实施路径。重点分析当前各学段课程内容重复、断层、脱节等问题，探索基于知识图谱的课程链构建方法，开发衔接各学段的跨学科主题课程和大学先修课程资源，研究课程资源在不同学段的适配性推送机制。通过登峰数智化</w:t>
      </w:r>
      <w:r>
        <w:rPr>
          <w:rFonts w:hint="eastAsia" w:ascii="Times New Roman" w:hAnsi="Times New Roman" w:eastAsia="仿宋" w:cs="Times New Roman"/>
          <w:color w:val="000000"/>
          <w:kern w:val="0"/>
          <w:sz w:val="32"/>
          <w:szCs w:val="32"/>
          <w:lang w:eastAsia="zh-CN"/>
          <w14:ligatures w14:val="none"/>
        </w:rPr>
        <w:t>“</w:t>
      </w:r>
      <w:r>
        <w:rPr>
          <w:rFonts w:hint="eastAsia" w:ascii="仿宋" w:hAnsi="仿宋" w:eastAsia="仿宋" w:cs="仿宋"/>
          <w:color w:val="000000"/>
          <w:kern w:val="0"/>
          <w:sz w:val="32"/>
          <w:szCs w:val="32"/>
          <w14:ligatures w14:val="none"/>
        </w:rPr>
        <w:t>大中小衔接</w:t>
      </w:r>
      <w:r>
        <w:rPr>
          <w:rFonts w:hint="eastAsia" w:ascii="仿宋" w:hAnsi="仿宋" w:eastAsia="仿宋" w:cs="仿宋"/>
          <w:color w:val="000000"/>
          <w:kern w:val="0"/>
          <w:sz w:val="32"/>
          <w:szCs w:val="32"/>
          <w:lang w:eastAsia="zh-CN"/>
          <w14:ligatures w14:val="none"/>
        </w:rPr>
        <w:t>”</w:t>
      </w:r>
      <w:r>
        <w:rPr>
          <w:rFonts w:hint="eastAsia" w:ascii="Times New Roman" w:hAnsi="Times New Roman" w:eastAsia="仿宋" w:cs="Times New Roman"/>
          <w:color w:val="000000"/>
          <w:kern w:val="0"/>
          <w:sz w:val="32"/>
          <w:szCs w:val="32"/>
          <w14:ligatures w14:val="none"/>
        </w:rPr>
        <w:t>研究性学习平台开展课程实践与效果追踪，形成可推广的课程一体化解决方案，提升人才培养的连续性和系统性，为拔尖创新人才早期培育奠定课程基础。</w:t>
      </w:r>
    </w:p>
    <w:p w14:paraId="3DF71F8B">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2. 基于人工智能的拔尖创新人才早期识别模型构建研究</w:t>
      </w:r>
    </w:p>
    <w:p w14:paraId="42976C5C">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利用人工智能技术，构建基于多模态学习数据的拔尖创新人才早期识别模型，突破传统选拔方式的主观性和滞后性。重点研究学生课堂行为、作业表现、项目式学习成果、竞赛数据等多源数据的融合分析方法，挖掘与创新能力、科学潜质相关的关键特征指标，开发动态识别算法和预警机制。通过数据验证模型的效度与信度，形成一套科学、客观、可操作的早期识别工具，为学校和区域开展拔尖人才甄选提供技术支持，促进人才早发现、早培养。</w:t>
      </w:r>
    </w:p>
    <w:p w14:paraId="591F43A9">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3. 数智技术支撑的跨学科融合课程开发与实践研究</w:t>
      </w:r>
    </w:p>
    <w:p w14:paraId="67528367">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探索数智技术如何赋能跨学科融合课程的开发与实践，以培养学生综合运用多学科知识解决复杂问题的能力。重点研究基于真实情境的跨学科项目设计方法，利用虚拟仿真、人工智能等技术构建沉浸式学习场景，开发融合科学、技术、工程、艺术、数学等领域的主题课程。研究课程实施中教师协作机制、学生合作学习模式，并通过平台采集学习过程数据，评估课程对学生创新思维和实践能力的影响，为跨学科教育提供可复制的课程样例和实施策略。</w:t>
      </w:r>
    </w:p>
    <w:p w14:paraId="794DED4E">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4. 大中小衔接视角下学生创新能力动态评价体系研究</w:t>
      </w:r>
    </w:p>
    <w:p w14:paraId="7BFA6C66">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构建贯穿大中小学段的创新能力动态评价体系，实现对拔尖创新人才成长过程的持续追踪与精准反馈。重点研究创新能力的内涵维度与阶段表现特征，开发适应不同学龄段的多模态评价工具（如作品评价、思维测评、行为观察等），利用大数据技术建立学生创新能力成长档案，分析创新能力发展的关键转折点与影响因素。研究结果可为学校调整培养策略、为学生提供个性化发展建议提供依据，推动教育评价从结果导向转向过程赋能。</w:t>
      </w:r>
    </w:p>
    <w:p w14:paraId="33CD6124">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5. 生成式人工智能在基础教育学科教学中的应用与伦理研究</w:t>
      </w:r>
    </w:p>
    <w:p w14:paraId="21E5C77A">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研究生成式人工智能（如大语言模型）在基础教育各学科教学中的应用场景、效果及伴随的伦理风险。重点探索AI辅助教学设计、个性化作业生成、智能答疑辅导等实践模式，分析其对教师角色转变、学生学习方式的影响。同时，研究AI生成内容的准确性、偏见性、安全性问题，提出基础教育阶段AI应用的伦理规范、师生AI素养要求和风险防控机制，为AI赋能基础教育高质量发展提供实践指引和政策建议。</w:t>
      </w:r>
    </w:p>
    <w:p w14:paraId="22C93541">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6. 数智平台支持下的大中小协同育人机制创新研究</w:t>
      </w:r>
    </w:p>
    <w:p w14:paraId="6AD2F2FE">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本课题旨在依托登峰数智化</w:t>
      </w:r>
      <w:r>
        <w:rPr>
          <w:rFonts w:hint="eastAsia" w:ascii="Times New Roman" w:hAnsi="Times New Roman" w:eastAsia="仿宋" w:cs="Times New Roman"/>
          <w:color w:val="000000"/>
          <w:kern w:val="0"/>
          <w:sz w:val="32"/>
          <w:szCs w:val="32"/>
          <w:lang w:eastAsia="zh-CN"/>
          <w14:ligatures w14:val="none"/>
        </w:rPr>
        <w:t>“</w:t>
      </w:r>
      <w:r>
        <w:rPr>
          <w:rFonts w:hint="eastAsia" w:ascii="Times New Roman" w:hAnsi="Times New Roman" w:eastAsia="仿宋" w:cs="Times New Roman"/>
          <w:color w:val="000000"/>
          <w:kern w:val="0"/>
          <w:sz w:val="32"/>
          <w:szCs w:val="32"/>
          <w14:ligatures w14:val="none"/>
        </w:rPr>
        <w:t>大中小衔接</w:t>
      </w:r>
      <w:r>
        <w:rPr>
          <w:rFonts w:hint="eastAsia" w:ascii="Times New Roman" w:hAnsi="Times New Roman" w:eastAsia="仿宋" w:cs="Times New Roman"/>
          <w:color w:val="000000"/>
          <w:kern w:val="0"/>
          <w:sz w:val="32"/>
          <w:szCs w:val="32"/>
          <w:lang w:eastAsia="zh-CN"/>
          <w14:ligatures w14:val="none"/>
        </w:rPr>
        <w:t>”</w:t>
      </w:r>
      <w:r>
        <w:rPr>
          <w:rFonts w:hint="eastAsia" w:ascii="Times New Roman" w:hAnsi="Times New Roman" w:eastAsia="仿宋" w:cs="Times New Roman"/>
          <w:color w:val="000000"/>
          <w:kern w:val="0"/>
          <w:sz w:val="32"/>
          <w:szCs w:val="32"/>
          <w14:ligatures w14:val="none"/>
        </w:rPr>
        <w:t>研究性学习平台，研究大中小学协同育人的组织架构、运行机制和保障体系。重点分析当前大学、中学、小学在人才培养目标、课程衔接、资源共享等方面存在的协同障碍，探索以平台为纽带的“大学-中学-小学”教育共同体建设路径，研究跨学段教师联合教研、学生联合培养、科研项目贯通等协同模式。通过典型案例分析，提炼可复制的协同机制，推动形成纵向贯通、横向联动的育人新生态。</w:t>
      </w:r>
    </w:p>
    <w:p w14:paraId="7CA6774E">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7. 县域中学数智教育能力提升与拔尖人才早期培养帮扶机制研究</w:t>
      </w:r>
    </w:p>
    <w:p w14:paraId="64DB8193">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响应乡村振兴和教育优质均衡发展战略，研究县域中学数智教育能力提升的有效路径，以及借助数智平台实现优质教育资源向县域输送的帮扶机制。重点调研县域中学在数字化基础设施、教师数智素养、课程资源开发等方面的短板，设计“高校-县域中学”结对帮扶模式，探索通过远程双师课堂、虚拟教研共同体、在线竞赛辅导等方式提升县域中学拔尖人才早期培养能力。研究结果可为教育行政部门制定精准帮扶政策提供实证依据。</w:t>
      </w:r>
    </w:p>
    <w:p w14:paraId="5DE22CDE">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8. 基于学习行为数据的个性化学习路径设计与实证研究</w:t>
      </w:r>
    </w:p>
    <w:p w14:paraId="26E654DE">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本课题旨在利用登峰数智化</w:t>
      </w:r>
      <w:r>
        <w:rPr>
          <w:rFonts w:hint="eastAsia" w:ascii="Times New Roman" w:hAnsi="Times New Roman" w:eastAsia="仿宋" w:cs="Times New Roman"/>
          <w:color w:val="000000"/>
          <w:kern w:val="0"/>
          <w:sz w:val="32"/>
          <w:szCs w:val="32"/>
          <w:lang w:eastAsia="zh-CN"/>
          <w14:ligatures w14:val="none"/>
        </w:rPr>
        <w:t>“</w:t>
      </w:r>
      <w:r>
        <w:rPr>
          <w:rFonts w:hint="eastAsia" w:ascii="Times New Roman" w:hAnsi="Times New Roman" w:eastAsia="仿宋" w:cs="Times New Roman"/>
          <w:color w:val="000000"/>
          <w:kern w:val="0"/>
          <w:sz w:val="32"/>
          <w:szCs w:val="32"/>
          <w14:ligatures w14:val="none"/>
        </w:rPr>
        <w:t>大中小衔接</w:t>
      </w:r>
      <w:r>
        <w:rPr>
          <w:rFonts w:hint="eastAsia" w:ascii="Times New Roman" w:hAnsi="Times New Roman" w:eastAsia="仿宋" w:cs="Times New Roman"/>
          <w:color w:val="000000"/>
          <w:kern w:val="0"/>
          <w:sz w:val="32"/>
          <w:szCs w:val="32"/>
          <w:lang w:eastAsia="zh-CN"/>
          <w14:ligatures w14:val="none"/>
        </w:rPr>
        <w:t>”</w:t>
      </w:r>
      <w:r>
        <w:rPr>
          <w:rFonts w:hint="eastAsia" w:ascii="Times New Roman" w:hAnsi="Times New Roman" w:eastAsia="仿宋" w:cs="Times New Roman"/>
          <w:color w:val="000000"/>
          <w:kern w:val="0"/>
          <w:sz w:val="32"/>
          <w:szCs w:val="32"/>
          <w14:ligatures w14:val="none"/>
        </w:rPr>
        <w:t>研究性学习平台积累的行为数据，研究个性化学习路径的智能生成与动态优化方法。重点分析学生学习风格、知识掌握水平、兴趣偏好等特征与学习路径选择的关系，开发基于强化学习的路径推荐算法，设计支持自适应学习的平台功能模块。通过对比实验验证个性化路径对学生学习效率、深度理解及创新能力的影响，形成可落地的个性化学习支持方案，推动大规模因材施教的实现。</w:t>
      </w:r>
    </w:p>
    <w:p w14:paraId="52948EAB">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9. 人工智能赋能研究性学习的模式创新与实践成效研究</w:t>
      </w:r>
    </w:p>
    <w:p w14:paraId="4C5DB43C">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探索人工智能技术如何赋能研究性学习，提升学生自主探究和创新能力。重点研究AI在研究性学习全过程中的应用场景，包括选题推荐、资料检索、研究方法指导、数据分析辅助、成果展示优化等，构建“人机协同”的研究性学习新模式。通过登峰数智化</w:t>
      </w:r>
      <w:r>
        <w:rPr>
          <w:rFonts w:hint="eastAsia" w:ascii="Times New Roman" w:hAnsi="Times New Roman" w:eastAsia="仿宋" w:cs="Times New Roman"/>
          <w:color w:val="000000"/>
          <w:kern w:val="0"/>
          <w:sz w:val="32"/>
          <w:szCs w:val="32"/>
          <w:lang w:eastAsia="zh-CN"/>
          <w14:ligatures w14:val="none"/>
        </w:rPr>
        <w:t>“</w:t>
      </w:r>
      <w:r>
        <w:rPr>
          <w:rFonts w:hint="eastAsia" w:ascii="Times New Roman" w:hAnsi="Times New Roman" w:eastAsia="仿宋" w:cs="Times New Roman"/>
          <w:color w:val="000000"/>
          <w:kern w:val="0"/>
          <w:sz w:val="32"/>
          <w:szCs w:val="32"/>
          <w14:ligatures w14:val="none"/>
        </w:rPr>
        <w:t>大中小衔接</w:t>
      </w:r>
      <w:r>
        <w:rPr>
          <w:rFonts w:hint="eastAsia" w:ascii="Times New Roman" w:hAnsi="Times New Roman" w:eastAsia="仿宋" w:cs="Times New Roman"/>
          <w:color w:val="000000"/>
          <w:kern w:val="0"/>
          <w:sz w:val="32"/>
          <w:szCs w:val="32"/>
          <w:lang w:eastAsia="zh-CN"/>
          <w14:ligatures w14:val="none"/>
        </w:rPr>
        <w:t>”</w:t>
      </w:r>
      <w:r>
        <w:rPr>
          <w:rFonts w:hint="eastAsia" w:ascii="Times New Roman" w:hAnsi="Times New Roman" w:eastAsia="仿宋" w:cs="Times New Roman"/>
          <w:color w:val="000000"/>
          <w:kern w:val="0"/>
          <w:sz w:val="32"/>
          <w:szCs w:val="32"/>
          <w14:ligatures w14:val="none"/>
        </w:rPr>
        <w:t>研究性学习平台开展实践，采集学生探究过程数据，评估AI支持对学生问题意识、科学思维和成果质量的影响，提炼典型模式和实践案例，为研究性学习的智能化转型提供参考。</w:t>
      </w:r>
    </w:p>
    <w:p w14:paraId="6E1C591B">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10. 数智时代教师数智素养标准与提升路径研究</w:t>
      </w:r>
    </w:p>
    <w:p w14:paraId="3DE5277E">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构建适应数智时代教育要求的教师数智素养框架，并探索有效的提升路径。重点研究教师数智素养的核心要素（如数据理解、技术应用、伦理意识、教学创新等），开发分层分类的素养评价工具。调研当前教师数智素养现状及培训需求，设计线上线下融合的培训课程体系和研修模式，开展精准化的教师发展支持。研究成果可为师范生培养、在职教师培训及学校数字化建设提供依据。</w:t>
      </w:r>
    </w:p>
    <w:p w14:paraId="08CA0E22">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11. 虚实融合的智慧学习空间设计与教学场景重构研究</w:t>
      </w:r>
    </w:p>
    <w:p w14:paraId="46D4322D">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研究融合虚拟现实、增强现实、物联网等技术的智慧学习空间设计原则，以及其对教学场景的重构作用。重点分析不同学科、不同学段对学习空间的需求，设计支持协作学习、探究学习、远程互动的空间布局和技术配置方案。通过实验研究智慧学习空间对学习动机、沉浸感和学习成效的影响，提出空间建设与教学应用的一体化策略，为学校未来学习环境建设提供指导。</w:t>
      </w:r>
    </w:p>
    <w:p w14:paraId="27CDE61D">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12. 数智技术促进教育资源跨学段均衡配置的实践研究</w:t>
      </w:r>
    </w:p>
    <w:p w14:paraId="0682EA09">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本课题旨在研究数智技术如何优化教育资源在小学、初中、高中、大学各学段间的均衡配置，促进优质资源共享。重点分析当前教育资源分布不均的现状，探索</w:t>
      </w:r>
      <w:r>
        <w:rPr>
          <w:rFonts w:hint="eastAsia" w:ascii="Times New Roman" w:hAnsi="Times New Roman" w:eastAsia="仿宋" w:cs="Times New Roman"/>
          <w:color w:val="auto"/>
          <w:kern w:val="0"/>
          <w:sz w:val="32"/>
          <w:szCs w:val="32"/>
          <w14:ligatures w14:val="none"/>
        </w:rPr>
        <w:t>资源精准</w:t>
      </w:r>
      <w:r>
        <w:rPr>
          <w:rFonts w:hint="eastAsia" w:ascii="Times New Roman" w:hAnsi="Times New Roman" w:eastAsia="仿宋" w:cs="Times New Roman"/>
          <w:color w:val="000000"/>
          <w:kern w:val="0"/>
          <w:sz w:val="32"/>
          <w:szCs w:val="32"/>
          <w14:ligatures w14:val="none"/>
        </w:rPr>
        <w:t>推送机制、校际资源协作网络、数字资源共建共享模式。通过实证研究，评估资源均衡配置对学生学业进步和创新能力提升的贡献，提出政策建议和操作指南，助力缩小区域、城乡、校际差距。</w:t>
      </w:r>
    </w:p>
    <w:p w14:paraId="67D55D67">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auto"/>
          <w:kern w:val="0"/>
          <w:sz w:val="32"/>
          <w:szCs w:val="32"/>
          <w14:ligatures w14:val="none"/>
        </w:rPr>
      </w:pPr>
      <w:bookmarkStart w:id="0" w:name="_GoBack"/>
      <w:r>
        <w:rPr>
          <w:rFonts w:hint="eastAsia" w:ascii="Times New Roman" w:hAnsi="Times New Roman" w:eastAsia="楷体" w:cs="Times New Roman"/>
          <w:color w:val="auto"/>
          <w:kern w:val="0"/>
          <w:sz w:val="32"/>
          <w:szCs w:val="32"/>
          <w14:ligatures w14:val="none"/>
        </w:rPr>
        <w:t>13. 数智赋能的拔尖创新人才个性化成长支持系统构建研究</w:t>
      </w:r>
    </w:p>
    <w:p w14:paraId="5CD21AC1">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auto"/>
          <w:kern w:val="0"/>
          <w:sz w:val="32"/>
          <w:szCs w:val="32"/>
          <w14:ligatures w14:val="none"/>
        </w:rPr>
      </w:pPr>
      <w:r>
        <w:rPr>
          <w:rFonts w:hint="eastAsia" w:ascii="Times New Roman" w:hAnsi="Times New Roman" w:eastAsia="仿宋" w:cs="Times New Roman"/>
          <w:color w:val="auto"/>
          <w:kern w:val="0"/>
          <w:sz w:val="32"/>
          <w:szCs w:val="32"/>
          <w14:ligatures w14:val="none"/>
        </w:rPr>
        <w:t>本课题旨在针对拔尖创新人才培养路径固化、个性化需求难精准满足等问题，利用数智技术构建覆盖大中小全学段的个性化成长支持系统。重点研究基于多源数据的学生成长画像构建与智能推荐算法，实现培养方案、学习资源与个人特质的动态适配。探索“数据诊断—资源推送—效果反馈”闭环机制及多元主体协同模式。通过实践验证系统对学生创新能力与潜能开发的实际效果，推动人才培养从“统一供给”向“精准适配”转型。</w:t>
      </w:r>
    </w:p>
    <w:bookmarkEnd w:id="0"/>
    <w:p w14:paraId="6270DA3D">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14. 数智教育支撑新质生产力人才培养的机制与路径研究</w:t>
      </w:r>
    </w:p>
    <w:p w14:paraId="0F694AD4">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从教育支撑新质生产力发展的战略高度，研究数智教育在培养适应未来产业需求的创新型人才中的作用机制。重点分析新质生产力对人才知识结构、能力素养的新要求，探索数智教育如何通过课程重构、教学模式创新、产教融合等方式培养具有跨界整合能力、创新能力和数字素养的人才。研究提出数智教育服务新质生产力发展的系统路径和政策建议，推动教育与经济社会的深度融合。</w:t>
      </w:r>
    </w:p>
    <w:p w14:paraId="3533F6CE">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15. 大中小衔接视域下科学教育课程链构建与实施研究</w:t>
      </w:r>
    </w:p>
    <w:p w14:paraId="2C9AD96B">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围绕科学教育一体化发展，构建大中小学衔接的科学教育课程链。重点研究科学概念、科学方法、科学精神在各学段的螺旋式上升设计，开发跨学段的科学探究项目系列，探索高校实验室、科研院所资源向中小学开放的机制</w:t>
      </w:r>
      <w:r>
        <w:rPr>
          <w:rFonts w:hint="eastAsia" w:ascii="Times New Roman" w:hAnsi="Times New Roman" w:eastAsia="仿宋" w:cs="Times New Roman"/>
          <w:color w:val="auto"/>
          <w:kern w:val="0"/>
          <w:sz w:val="32"/>
          <w:szCs w:val="32"/>
          <w14:ligatures w14:val="none"/>
        </w:rPr>
        <w:t>。通过登峰数智化</w:t>
      </w:r>
      <w:r>
        <w:rPr>
          <w:rFonts w:hint="eastAsia" w:ascii="Times New Roman" w:hAnsi="Times New Roman" w:eastAsia="仿宋" w:cs="Times New Roman"/>
          <w:color w:val="auto"/>
          <w:kern w:val="0"/>
          <w:sz w:val="32"/>
          <w:szCs w:val="32"/>
          <w:lang w:eastAsia="zh-CN"/>
          <w14:ligatures w14:val="none"/>
        </w:rPr>
        <w:t>“</w:t>
      </w:r>
      <w:r>
        <w:rPr>
          <w:rFonts w:hint="eastAsia" w:ascii="仿宋" w:hAnsi="仿宋" w:eastAsia="仿宋" w:cs="仿宋"/>
          <w:color w:val="auto"/>
          <w:kern w:val="0"/>
          <w:sz w:val="32"/>
          <w:szCs w:val="32"/>
          <w14:ligatures w14:val="none"/>
        </w:rPr>
        <w:t>大中小衔接</w:t>
      </w:r>
      <w:r>
        <w:rPr>
          <w:rFonts w:hint="eastAsia" w:ascii="仿宋" w:hAnsi="仿宋" w:eastAsia="仿宋" w:cs="仿宋"/>
          <w:color w:val="auto"/>
          <w:kern w:val="0"/>
          <w:sz w:val="32"/>
          <w:szCs w:val="32"/>
          <w:lang w:eastAsia="zh-CN"/>
          <w14:ligatures w14:val="none"/>
        </w:rPr>
        <w:t>”</w:t>
      </w:r>
      <w:r>
        <w:rPr>
          <w:rFonts w:hint="eastAsia" w:ascii="Times New Roman" w:hAnsi="Times New Roman" w:eastAsia="仿宋" w:cs="Times New Roman"/>
          <w:color w:val="auto"/>
          <w:kern w:val="0"/>
          <w:sz w:val="32"/>
          <w:szCs w:val="32"/>
          <w14:ligatures w14:val="none"/>
        </w:rPr>
        <w:t>研究性学习平台实施科学教育项</w:t>
      </w:r>
      <w:r>
        <w:rPr>
          <w:rFonts w:hint="eastAsia" w:ascii="Times New Roman" w:hAnsi="Times New Roman" w:eastAsia="仿宋" w:cs="Times New Roman"/>
          <w:color w:val="000000"/>
          <w:kern w:val="0"/>
          <w:sz w:val="32"/>
          <w:szCs w:val="32"/>
          <w14:ligatures w14:val="none"/>
        </w:rPr>
        <w:t>目，采集学生科学素养发展数据，评估课程链的实施效果，为提升全民科学素质和拔尖科学后备人才培养提供支撑。</w:t>
      </w:r>
    </w:p>
    <w:p w14:paraId="17F5EE99">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16. 基于大数据的区域教育质量监测与优质均衡发展策略研究</w:t>
      </w:r>
    </w:p>
    <w:p w14:paraId="7ACFCE14">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利用大数据技术构建区域教育质量动态监测体系，为教育行政部门推进优质均衡发展提供决策支持。重点研究区域教育质量监测指标体系（包括学业质量、创新能力、身心健康、教育资源等），开发数据采集、清洗、分析模型，建立可视化监测平台。通过多区域对比分析，识别教育发展的短板和影响因素，提出针对性的发展策略和资源配置建议，推动区域教育高质量发展。</w:t>
      </w:r>
    </w:p>
    <w:p w14:paraId="6CE295C5">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17. 数智技术赋能教育评价改革与学生综合素质评价研究</w:t>
      </w:r>
    </w:p>
    <w:p w14:paraId="400AA46E">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探索数智技术如何支撑学生综合素质评价改革，突破传统纸笔测试的局限。重点研究利用学习过程数据、作品数据、实践活动数据等多维信息，构建学生综合素质评价模型，开发评价报告自动生成工具。研究评价结果向学生、教师、家长反馈的机制，促进学生自我认知和成长。通过实践验证评价改革的育人效果，为深化新时代教育评价改革提供技术支撑和案例经验。</w:t>
      </w:r>
    </w:p>
    <w:p w14:paraId="56DD8F26">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18. 人机协同教育智能体的设计及其在个性化辅导中的应用研究</w:t>
      </w:r>
    </w:p>
    <w:p w14:paraId="7A3F3B66">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设计具备教学辅导、情感交互、学习引导等功能的人机协同教育智能体，并探索其在个性化学习支持中的应用。重点研究智能体的角色定位、对话交互策略、知识表示与推理机制，开发基于大语言模型的智能辅导系统。通过实验研究智能体对学生学习投入、问题解决能力的影响，分析人机协同的教学模式，为智能教育产品的研发和应用提供理论与实践指导。</w:t>
      </w:r>
    </w:p>
    <w:p w14:paraId="2E64D3D2">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19. 教育大数据治理体系与数据安全隐私保护机制研究</w:t>
      </w:r>
    </w:p>
    <w:p w14:paraId="4D7B3DF0">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构建适应教育大数据发展的数据治理体系，确保数据安全与个人隐私。重点研究教育数据的全生命周期管理框架，包括数据采集标准、存储规范、共享权限、质量监控等。分析教育应用中常见的数据安全风险，设计基于隐私计算、区块链等技术的数据保护方案，提出相应的法律法规和伦理准则建议。研究成果可为教育行政部门和学校建立健全数据管理制度提供参考。</w:t>
      </w:r>
    </w:p>
    <w:p w14:paraId="21658CFF">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hint="eastAsia" w:ascii="Times New Roman" w:hAnsi="Times New Roman" w:eastAsia="楷体" w:cs="Times New Roman"/>
          <w:color w:val="000000"/>
          <w:kern w:val="0"/>
          <w:sz w:val="32"/>
          <w:szCs w:val="32"/>
          <w14:ligatures w14:val="none"/>
        </w:rPr>
      </w:pPr>
      <w:r>
        <w:rPr>
          <w:rFonts w:hint="eastAsia" w:ascii="Times New Roman" w:hAnsi="Times New Roman" w:eastAsia="楷体" w:cs="Times New Roman"/>
          <w:color w:val="000000"/>
          <w:kern w:val="0"/>
          <w:sz w:val="32"/>
          <w:szCs w:val="32"/>
          <w14:ligatures w14:val="none"/>
        </w:rPr>
        <w:t>20. 数智环境下家校社协同育人模式的创新与实践研究</w:t>
      </w:r>
    </w:p>
    <w:p w14:paraId="693D4905">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课题旨在研究数智技术如何赋能家庭、学校、社会协同育人，构建良性互动的育人生态。重点分析当前家校社沟通的痛点，探索基于数智平台的家长学校、社区实践资源对接、学生校外活动记录与反馈等机制。研究协同育人对学生全面发展的影响，总结典型实践模式，提出促进家校社协同的政策建议，推动形成全社会关心支持教育的良好氛围。</w:t>
      </w:r>
    </w:p>
    <w:p w14:paraId="066C3B0E">
      <w:pPr>
        <w:keepNext w:val="0"/>
        <w:keepLines w:val="0"/>
        <w:pageBreakBefore w:val="0"/>
        <w:widowControl/>
        <w:kinsoku/>
        <w:wordWrap/>
        <w:overflowPunct/>
        <w:topLinePunct w:val="0"/>
        <w:autoSpaceDE/>
        <w:autoSpaceDN/>
        <w:bidi w:val="0"/>
        <w:adjustRightInd/>
        <w:snapToGrid/>
        <w:spacing w:before="157" w:beforeLines="50" w:line="580" w:lineRule="exact"/>
        <w:ind w:left="0" w:firstLine="720" w:firstLineChars="200"/>
        <w:jc w:val="left"/>
        <w:textAlignment w:val="auto"/>
        <w:outlineLvl w:val="0"/>
        <w:rPr>
          <w:rFonts w:hint="eastAsia" w:ascii="黑体" w:hAnsi="黑体" w:eastAsia="黑体" w:cs="Times New Roman"/>
          <w:color w:val="000000"/>
          <w:kern w:val="36"/>
          <w:sz w:val="36"/>
          <w:szCs w:val="36"/>
          <w14:ligatures w14:val="none"/>
        </w:rPr>
      </w:pPr>
      <w:r>
        <w:rPr>
          <w:rFonts w:hint="eastAsia" w:ascii="黑体" w:hAnsi="黑体" w:eastAsia="黑体" w:cs="Times New Roman"/>
          <w:color w:val="000000"/>
          <w:kern w:val="36"/>
          <w:sz w:val="36"/>
          <w:szCs w:val="36"/>
          <w14:ligatures w14:val="none"/>
        </w:rPr>
        <w:t>申报说明</w:t>
      </w:r>
    </w:p>
    <w:p w14:paraId="17A35C98">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r>
        <w:rPr>
          <w:rFonts w:hint="eastAsia" w:ascii="Times New Roman" w:hAnsi="Times New Roman" w:eastAsia="仿宋" w:cs="Times New Roman"/>
          <w:color w:val="000000"/>
          <w:kern w:val="0"/>
          <w:sz w:val="32"/>
          <w:szCs w:val="32"/>
          <w14:ligatures w14:val="none"/>
        </w:rPr>
        <w:t>本指南所列课题为教育大数据专业委员会2026-2027年重点研究方向，申请人可据此设计具体课题名称，也可结合数智教育和拔尖创新人才培养的其他前沿问题自拟题目申报。课题研究须注重实证性与实践性，鼓励依托登峰数智化平台开展研究，形成可推广、可应用的研究成果。</w:t>
      </w:r>
    </w:p>
    <w:p w14:paraId="52E1F616">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p>
    <w:p w14:paraId="22E11308">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仿宋" w:cs="Times New Roman"/>
          <w:color w:val="000000"/>
          <w:kern w:val="0"/>
          <w:sz w:val="32"/>
          <w:szCs w:val="32"/>
          <w14:ligatures w14:val="none"/>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var(--dsw-font-markdown-h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bas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A27F0"/>
    <w:rsid w:val="0B7D5878"/>
    <w:rsid w:val="11695848"/>
    <w:rsid w:val="15520B59"/>
    <w:rsid w:val="4BE92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2026-03-17T07:10:46Z</dcterms:created>
  <dc:creator>SLJ</dc:creator>
  <cp:lastModifiedBy>媛小园</cp:lastModifiedBy>
  <dcterms:modified xsi:type="dcterms:W3CDTF">2026-03-17T08:02:48Z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eyJoZGlkIjoiNmI3OGI5MDZkZDQ0MjY2ODdiNjU5NzQxOWI2ZmIxMjgiLCJ1c2VySWQiOiIyMzIxMTMzMDgifQ==</vt:lpwstr>
  </property>
  <property fmtid="{D5CDD505-2E9C-101B-9397-08002B2CF9AE}" pid="4" name="ICV">
    <vt:lpwstr>F5454129EF934526B6EBE20EB9AF4640_12</vt:lpwstr>
  </property>
</Properties>
</file>